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TRAINING STANDARDS FRAMEWORK</w:t>
      </w:r>
    </w:p>
    <w:p>
      <w:pPr>
        <w:jc w:val="center"/>
      </w:pPr>
      <w:r>
        <w:t>Integrated Response Training | RTC Rescue Training Consultancy</w:t>
      </w:r>
    </w:p>
    <w:p/>
    <w:p>
      <w:r>
        <w:rPr>
          <w:b/>
        </w:rPr>
        <w:t>1. Purpose</w:t>
      </w:r>
    </w:p>
    <w:p>
      <w:r>
        <w:t>This document defines the Training Standards Framework for RTC Rescue Training Consultancy. It establishes the minimum requirements, delivery expectations, and quality benchmarks for all training delivered under the Integrated Response Training model.</w:t>
      </w:r>
    </w:p>
    <w:p>
      <w:r>
        <w:rPr>
          <w:b/>
        </w:rPr>
        <w:t>2. Scope</w:t>
      </w:r>
    </w:p>
    <w:p>
      <w:r>
        <w:t>This framework applies to all instructors, subject matter experts (SMEs), and training providers delivering training on behalf of RTC Rescue Training Consultancy.</w:t>
      </w:r>
    </w:p>
    <w:p>
      <w:r>
        <w:rPr>
          <w:b/>
        </w:rPr>
        <w:t>3. Training Design Principles</w:t>
      </w:r>
    </w:p>
    <w:p>
      <w:r>
        <w:t>All training must be:</w:t>
        <w:br/>
        <w:t>• Risk-based and aligned to client operational environments</w:t>
        <w:br/>
        <w:t>• Scenario-driven to reflect real-world conditions</w:t>
        <w:br/>
        <w:t>• Structured to deliver measurable competence</w:t>
        <w:br/>
        <w:t>• Delivered with safety as the primary consideration</w:t>
      </w:r>
    </w:p>
    <w:p>
      <w:r>
        <w:rPr>
          <w:b/>
        </w:rPr>
        <w:t>4. Course Structure</w:t>
      </w:r>
    </w:p>
    <w:p>
      <w:r>
        <w:t>Training must include:</w:t>
        <w:br/>
        <w:t>• Defined learning objectives</w:t>
        <w:br/>
        <w:t>• Theory input aligned to practical application</w:t>
        <w:br/>
        <w:t>• Hands-on practical elements</w:t>
        <w:br/>
        <w:t>• Structured assessment and feedback</w:t>
        <w:br/>
        <w:t>• Clear start and end states for competency</w:t>
      </w:r>
    </w:p>
    <w:p>
      <w:r>
        <w:rPr>
          <w:b/>
        </w:rPr>
        <w:t>5. Instructor Standards</w:t>
      </w:r>
    </w:p>
    <w:p>
      <w:r>
        <w:t>All instructors must:</w:t>
        <w:br/>
        <w:t>• Be approved under the RTC Instructor Approval Process</w:t>
        <w:br/>
        <w:t>• Deliver training professionally and safely</w:t>
        <w:br/>
        <w:t>• Demonstrate subject matter expertise</w:t>
        <w:br/>
        <w:t>• Maintain engagement and control of delegates</w:t>
        <w:br/>
        <w:t>• Operate within RTC standards at all times</w:t>
      </w:r>
    </w:p>
    <w:p>
      <w:r>
        <w:rPr>
          <w:b/>
        </w:rPr>
        <w:t>6. Delegate Ratios &amp; Control</w:t>
      </w:r>
    </w:p>
    <w:p>
      <w:r>
        <w:t>To ensure safety and effective learning:</w:t>
        <w:br/>
        <w:t>• Maximum 8 delegates per practical session</w:t>
        <w:br/>
        <w:t>• Adequate instructor supervision at all times</w:t>
        <w:br/>
        <w:t>• Adjustments made based on risk assessment</w:t>
      </w:r>
    </w:p>
    <w:p>
      <w:r>
        <w:rPr>
          <w:b/>
        </w:rPr>
        <w:t>7. Equipment &amp; Resources</w:t>
      </w:r>
    </w:p>
    <w:p>
      <w:r>
        <w:t>Training must be supported by:</w:t>
        <w:br/>
        <w:t>• Suitable and serviceable equipment</w:t>
        <w:br/>
        <w:t>• Adequate quantity to support hands-on learning</w:t>
        <w:br/>
        <w:t>• Safe systems of work for all equipment used</w:t>
      </w:r>
    </w:p>
    <w:p>
      <w:r>
        <w:rPr>
          <w:b/>
        </w:rPr>
        <w:t>8. Health &amp; Safety</w:t>
      </w:r>
    </w:p>
    <w:p>
      <w:r>
        <w:t>All training must align with RAMS principles:</w:t>
        <w:br/>
        <w:t>• Pre-course risk assessment</w:t>
        <w:br/>
        <w:t>• Dynamic risk assessment during delivery</w:t>
        <w:br/>
        <w:t>• Immediate cessation of unsafe practices</w:t>
        <w:br/>
        <w:t>• Clear safety briefings for all delegates</w:t>
      </w:r>
    </w:p>
    <w:p>
      <w:r>
        <w:rPr>
          <w:b/>
        </w:rPr>
        <w:t>9. Assessment &amp; Competency</w:t>
      </w:r>
    </w:p>
    <w:p>
      <w:r>
        <w:t>Assessment must be:</w:t>
        <w:br/>
        <w:t>• Competency-based</w:t>
        <w:br/>
        <w:t>• Observed and recorded</w:t>
        <w:br/>
        <w:t>• Aligned to defined criteria</w:t>
        <w:br/>
        <w:t>• Supported by formal sign-off documentation</w:t>
      </w:r>
    </w:p>
    <w:p>
      <w:r>
        <w:rPr>
          <w:b/>
        </w:rPr>
        <w:t>10. Quality Assurance Integration</w:t>
      </w:r>
    </w:p>
    <w:p>
      <w:r>
        <w:t>All training delivery must align with RTC QA systems including:</w:t>
        <w:br/>
        <w:t>• Audit process</w:t>
        <w:br/>
        <w:t>• Peer review</w:t>
        <w:br/>
        <w:t>• Client feedback</w:t>
        <w:br/>
        <w:t>• Continuous improvement cycle</w:t>
      </w:r>
    </w:p>
    <w:p>
      <w:r>
        <w:rPr>
          <w:b/>
        </w:rPr>
        <w:t>11. Continuous Improvement</w:t>
      </w:r>
    </w:p>
    <w:p>
      <w:r>
        <w:t>Training standards will be reviewed and updated based on:</w:t>
        <w:br/>
        <w:t>• Feedback</w:t>
        <w:br/>
        <w:t>• Audit outcomes</w:t>
        <w:br/>
        <w:t>• Industry developments</w:t>
        <w:br/>
        <w:t>• Operational lessons learned</w:t>
      </w:r>
    </w:p>
    <w:p>
      <w:r>
        <w:rPr>
          <w:b/>
        </w:rPr>
        <w:t>12. Compliance &amp; Enforcement</w:t>
      </w:r>
    </w:p>
    <w:p>
      <w:r>
        <w:t>Failure to meet these standards may result in:</w:t>
        <w:br/>
        <w:t>• Corrective actions</w:t>
        <w:br/>
        <w:t>• Additional monitoring</w:t>
        <w:br/>
        <w:t>• Removal from approved provider network</w:t>
      </w:r>
    </w:p>
    <w:p>
      <w:r>
        <w:rPr>
          <w:b/>
        </w:rPr>
        <w:t>13. Record Keeping</w:t>
      </w:r>
    </w:p>
    <w:p>
      <w:r>
        <w:t>All training must maintain records of:</w:t>
        <w:br/>
        <w:t>• Attendance</w:t>
        <w:br/>
        <w:t>• Assessment</w:t>
        <w:br/>
        <w:t>• Certification</w:t>
        <w:br/>
        <w:t>• QA activities</w:t>
      </w:r>
    </w:p>
    <w:p>
      <w:r>
        <w:rPr>
          <w:b/>
        </w:rPr>
        <w:t>14. Acceptance</w:t>
      </w:r>
    </w:p>
    <w:p>
      <w:r>
        <w:t>All instructors and providers agree to comply with this Training Standards Framework when delivering training under RTC Rescue Training Consultancy.</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5486400" cy="3346704"/>
          <wp:docPr id="1" name="Picture 1"/>
          <wp:cNvGraphicFramePr>
            <a:graphicFrameLocks noChangeAspect="1"/>
          </wp:cNvGraphicFramePr>
          <a:graphic>
            <a:graphicData uri="http://schemas.openxmlformats.org/drawingml/2006/picture">
              <pic:pic>
                <pic:nvPicPr>
                  <pic:cNvPr id="0" name="Document logoTrimmed(1).png"/>
                  <pic:cNvPicPr/>
                </pic:nvPicPr>
                <pic:blipFill>
                  <a:blip r:embed="rId1"/>
                  <a:stretch>
                    <a:fillRect/>
                  </a:stretch>
                </pic:blipFill>
                <pic:spPr>
                  <a:xfrm>
                    <a:off x="0" y="0"/>
                    <a:ext cx="5486400" cy="33467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